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08018 / Barcelona el 29/11/2012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Afrontando el reto de las marcas digitales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Naming Digital lanza en España BrandShelter™, la solución integral para la gestión de
dominios y marcas en Internet.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“identidad” se ha convertido en un concepto clave de la época en la que vivimos. La	implantación de Internet y las redes sociales han hecho que la identidad digital sea tan importante como la propia identidad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marcas son el reflejo de la identidad de una empresa y su gestión se ha vuelto más compleja a medida que la globalización y el mundo digital han ganado importancia. En apenas unos años, las empresas han pasado de vigilar el registro de marcas de un único país a tener que hacerlo en todo el mundo. Durante este periodo, los nombres de dominio se han convertido en el “alter ego” virtual de las marcas y la próxima aprobación de nuevos dominios (como por ejemplo .app, .home, .shop) aumentará la magnitud del reto todavía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objetivo de simplificar esta tarea, Naming Digital lanza BrandShelter™. Esta herramienta permite administrar y monitorizar marcas y nombres de dominios en todo el mundo desde una única plataforma que garantiza a sus clientes los máximos estándares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Jordi Hinojosa, Director General de Naming Digital, afirma que “el concepto de marca y de	identidad está experimentando una profunda transformación. Muchas empresas todavía tienen	dudas acerca de cómo enfrentarse a estos cambios y nuestra misión consiste en ayudarles a	mantener el control de su reputación y su identidad en todo momento”.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Domínguez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Rble. Comunicación y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93 551 05 28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https://www.notasdeprensa.es/afrontando-el-reto-de-las-marcas-digitales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Telecomunicaciones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