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ventajas de invertir en la costa española, según Instituto de Valoraciones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alta rentabilidad, el dinamismo del mercado, con una importante participación extranjera, y la fuerte actividad turística favorecen la viabilidad de las inversiones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inmobiliario español no sólo presenta signos de recuperación en las principales ciudades del país. Las provincias costeras también representan un importante atractivo en cuanto a inversión inmobiliaria en España. De hecho, Barcelona, Alicante, Málaga y Valencia, se situaron el pasado verano, tras Madrid, entre las cinco provincias preferidas para comprar casa, según el Instituto Nacional de Estadística (INE).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Teniendo en cuenta la situación actual del mercado inmobiliario, Instituto de Valoraciones, sociedad de tasación homologada por el Banco de España, ha analizado los beneficios de invertir en viviendas costeras.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Zonas con una alta rentabilidadLos precios inmobiliarios en la costa han seguido una tendencia al alza tras la crisis, y se prevé que sigan así. A pesar de esta subida, los precios aún son inferiores a los registrados durante el boom inmobiliario, lo que favorece la viabilidad de las operaciones, sobre todo, en los núcleos más cercanos al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destaca la Costa del Sol, con precios que han subido un 6,6% en la provincia de Málaga durante el último año, y la Costa Blanca, con Alicante a la cabeza, donde la rentabilidad de comprar una vivienda para alquilarla se encuentra entre el 6% y el 7%, según los expertos.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mercado dinámico con participación extranjeraLa inversión inmobiliaria por parte de extranjeros en nuestro país el año pasado supuso el 13% de las transacciones. En este aspecto, destacan también las zonas de playa: en Baleares la inversión extranjera supuso un 44% y en la Comunidad Valenciana, el 27,44 %.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los efectos negativos del Brexit, la diversificación de inversores foráneos procedentes de Bélgica, Italia, Alemania o China minimizó el descenso del 10% de compradores británicos.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Centros neurálgicos del turismo en EspañaLa costa mediterránea y las islas son, junto a las grandes urbes, los puntos con mayor concentración de turistas en nuestro país. Esto es especialmente relevante en verano, cuando tiene mayor incidencia el turismo de sol y playa.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buen clima favorece la permanencia de la temporada alta durante gran parte del año en Canarias y algunas zonas de Alicante. Como resultado, se mantienen densidades turísticas medias y altas, lo que permite superar las limitaciones de la rentabilidad estacional a los propietarios que pongan su vivienda en alquiler.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paraíso de las viviendas de lujoLa Costa Blanca, con Alicante a la cabeza, acumula más del 20% de la oferta de viviendas de lujo en España. Destacan municipios como Moraira, en la zona comprendida entre Javea y Calpe, donde se están construyendo casas de alto poder adquisitivo. Por ejemplo, Assuma ha apostado por comercializar viviendas unifamiliares de diseño en la urbanización Pino Blanco.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opción perfecta para disfrutar de la jubilaciónLas zonas de playa de nuestro país son el destino de retiro preferido para muchos extranjeros europeos. Y es que las costas españolas son un refugio perfecto donde disfrutar de la jubilación gracias al clima y la gastronomía, entre otros placeres.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ahorro respecto a los precios de las grandes capitales hace que cada vez más compradores se decidan por vender su vivienda principal y adquirir una en la playa. En este sentido, los expertos hablan de que el 10% de los futuros compradores de vivienda invertirá en la costa como medio de ahorro de cara a la jubilación.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https://www.notasdeprensa.es/5-ventajas-de-invertir-en-la-costa-espanola_1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