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109 insolventes se acogen a la Ley de la Segunda Oportunidad en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90,8% de estos casos los ha tramitado Repara tu Deuda habiendo obtenido el primer caso de cancelación de deudas de todas las Islas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periodo (desde junio de 2016 a junio de 2018) 109 personas insolventes de Baleares se han acogido a la Ley de la Segunda Oportunidad, que brinda la posibilidad de exonerar las deudas contraídas y empezar de cero. Del total de casos tramitados en esta comunidad, el 90,8% los ha llevado a cabo Repara tu Deuda, primera compañía que aplica la Ley de la Segunda Oportunidad en España.</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"Gracias a esta legislación -explican los responsables de la compañía- muchas familias en nuestro país vuelven a tener esperanza e ilusión. Es muy satisfactorio poder ayudar a alguien que acude a nuestras oficinas en una situación de desamparo total y devolverle las ganas de emprender nuevos proyectos". Repara tu Deuda empezó su andadura el mismo año que la legislación entró en vigor en nuestro país, en 2015. Repara tu Deuda ha realizado más del 80% de todos los casos presentados en España el último año y su previsión es entregar 900 más en 2018. Todos los casos gestionados por la compañía han tenido el 100% de éxito hasta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https://www.notasdeprensa.es/109-insolventes-se-acogen-a-la-ley-de-la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